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87F9" w14:textId="373CC457" w:rsidR="00A84CDE" w:rsidRPr="00A33380" w:rsidRDefault="00F865BE">
      <w:pPr>
        <w:rPr>
          <w:rFonts w:ascii="Rockwell" w:hAnsi="Rockwell"/>
          <w:sz w:val="48"/>
          <w:szCs w:val="48"/>
        </w:rPr>
      </w:pPr>
      <w:bookmarkStart w:id="0" w:name="_Hlk228442650"/>
      <w:bookmarkEnd w:id="0"/>
      <w:r w:rsidRPr="00A33380">
        <w:rPr>
          <w:rFonts w:ascii="Rockwell" w:hAnsi="Rockwell"/>
          <w:sz w:val="48"/>
          <w:szCs w:val="48"/>
        </w:rPr>
        <w:t>Em Prof Robert Pascoe</w:t>
      </w:r>
    </w:p>
    <w:p w14:paraId="506F4D53" w14:textId="55AA5925" w:rsidR="00F865BE" w:rsidRPr="00A33380" w:rsidRDefault="00F865BE">
      <w:pPr>
        <w:rPr>
          <w:rFonts w:ascii="Cambria" w:hAnsi="Cambria"/>
          <w:i/>
          <w:iCs/>
          <w:sz w:val="28"/>
          <w:szCs w:val="28"/>
        </w:rPr>
      </w:pPr>
      <w:r w:rsidRPr="00A33380">
        <w:rPr>
          <w:rFonts w:ascii="Cambria" w:hAnsi="Cambria"/>
          <w:i/>
          <w:iCs/>
          <w:sz w:val="28"/>
          <w:szCs w:val="28"/>
        </w:rPr>
        <w:t>The future is a foreign country</w:t>
      </w:r>
    </w:p>
    <w:p w14:paraId="234EC5AC" w14:textId="77777777" w:rsidR="00A33380" w:rsidRDefault="00F865BE">
      <w:pPr>
        <w:rPr>
          <w:rFonts w:ascii="Cambria" w:hAnsi="Cambria"/>
          <w:sz w:val="28"/>
          <w:szCs w:val="28"/>
        </w:rPr>
      </w:pPr>
      <w:r w:rsidRPr="00A33380">
        <w:rPr>
          <w:rFonts w:ascii="Cambria" w:hAnsi="Cambria"/>
          <w:sz w:val="28"/>
          <w:szCs w:val="28"/>
        </w:rPr>
        <w:t>Robert Pascoe is the president of the Royal Historical Society of Victoria</w:t>
      </w:r>
      <w:r w:rsidR="00A33380">
        <w:rPr>
          <w:rFonts w:ascii="Cambria" w:hAnsi="Cambria"/>
          <w:sz w:val="28"/>
          <w:szCs w:val="28"/>
        </w:rPr>
        <w:t xml:space="preserve">, </w:t>
      </w:r>
      <w:r w:rsidRPr="00A33380">
        <w:rPr>
          <w:rFonts w:ascii="Cambria" w:hAnsi="Cambria"/>
          <w:sz w:val="28"/>
          <w:szCs w:val="28"/>
        </w:rPr>
        <w:t xml:space="preserve">passionate in his support of community history. </w:t>
      </w:r>
    </w:p>
    <w:p w14:paraId="51654F27" w14:textId="57EC28D5" w:rsidR="00F865BE" w:rsidRDefault="00F865BE">
      <w:pPr>
        <w:rPr>
          <w:rFonts w:ascii="Cambria" w:hAnsi="Cambria"/>
          <w:sz w:val="28"/>
          <w:szCs w:val="28"/>
        </w:rPr>
      </w:pPr>
      <w:r w:rsidRPr="00A33380">
        <w:rPr>
          <w:rFonts w:ascii="Cambria" w:hAnsi="Cambria"/>
          <w:sz w:val="28"/>
          <w:szCs w:val="28"/>
        </w:rPr>
        <w:t xml:space="preserve">We need to value the work of the state’s 340 affiliated historical societies and the RHSV’s 1200 members. Knowing our past better, truth-telling, is a sure pathway to imagining the future we want to create for our grandchildren and their children. To rephrase </w:t>
      </w:r>
      <w:r w:rsidR="005711BD" w:rsidRPr="00A33380">
        <w:rPr>
          <w:rFonts w:ascii="Cambria" w:hAnsi="Cambria"/>
          <w:sz w:val="28"/>
          <w:szCs w:val="28"/>
        </w:rPr>
        <w:t>L</w:t>
      </w:r>
      <w:r w:rsidRPr="00A33380">
        <w:rPr>
          <w:rFonts w:ascii="Cambria" w:hAnsi="Cambria"/>
          <w:sz w:val="28"/>
          <w:szCs w:val="28"/>
        </w:rPr>
        <w:t>. P. Hartley’s famous line, ‘The future is a foreign county; they will do things differently there.’</w:t>
      </w:r>
      <w:r w:rsidR="00A33380">
        <w:rPr>
          <w:rFonts w:ascii="Cambria" w:hAnsi="Cambria"/>
          <w:sz w:val="28"/>
          <w:szCs w:val="28"/>
        </w:rPr>
        <w:t xml:space="preserve"> The kind of society we want to become is hidden in plain view in our past.</w:t>
      </w:r>
    </w:p>
    <w:p w14:paraId="570A3F44" w14:textId="026065E0" w:rsidR="00F22B0A" w:rsidRDefault="00F22B0A">
      <w:pPr>
        <w:rPr>
          <w:rFonts w:ascii="Cambria" w:hAnsi="Cambria"/>
          <w:sz w:val="28"/>
          <w:szCs w:val="28"/>
        </w:rPr>
      </w:pPr>
      <w:r>
        <w:rPr>
          <w:rFonts w:ascii="Cambria" w:hAnsi="Cambria"/>
          <w:sz w:val="28"/>
          <w:szCs w:val="28"/>
        </w:rPr>
        <w:t xml:space="preserve">From 1989 to 2005, Pascoe was the foundation dean of arts at Victoria University, in </w:t>
      </w:r>
      <w:r>
        <w:rPr>
          <w:rFonts w:ascii="Cambria" w:hAnsi="Cambria"/>
          <w:sz w:val="28"/>
          <w:szCs w:val="28"/>
        </w:rPr>
        <w:t>Melbourne’s</w:t>
      </w:r>
      <w:r>
        <w:rPr>
          <w:rFonts w:ascii="Cambria" w:hAnsi="Cambria"/>
          <w:sz w:val="28"/>
          <w:szCs w:val="28"/>
        </w:rPr>
        <w:t xml:space="preserve"> West,</w:t>
      </w:r>
      <w:r>
        <w:rPr>
          <w:rFonts w:ascii="Cambria" w:hAnsi="Cambria"/>
          <w:sz w:val="28"/>
          <w:szCs w:val="28"/>
        </w:rPr>
        <w:t xml:space="preserve"> </w:t>
      </w:r>
      <w:r>
        <w:rPr>
          <w:rFonts w:ascii="Cambria" w:hAnsi="Cambria"/>
          <w:sz w:val="28"/>
          <w:szCs w:val="28"/>
        </w:rPr>
        <w:t>offering innovative programs in community development, computer mediated art, cultural studies, multimedia, psychology, and social work. In 2025 Pascoe received an Australian Historical Association Lifetime Achievement Award for his work in promoting history in Melbourne’s West.</w:t>
      </w:r>
    </w:p>
    <w:p w14:paraId="5D52E36E" w14:textId="25BC397C" w:rsidR="00A33380" w:rsidRDefault="00A33380">
      <w:pPr>
        <w:rPr>
          <w:rFonts w:ascii="Cambria" w:hAnsi="Cambria"/>
          <w:sz w:val="28"/>
          <w:szCs w:val="28"/>
        </w:rPr>
      </w:pPr>
      <w:r>
        <w:rPr>
          <w:rFonts w:ascii="Cambria" w:hAnsi="Cambria"/>
          <w:sz w:val="28"/>
          <w:szCs w:val="28"/>
        </w:rPr>
        <w:t xml:space="preserve">Pascoe continues to research and write </w:t>
      </w:r>
      <w:r w:rsidR="00B131E4">
        <w:rPr>
          <w:rFonts w:ascii="Cambria" w:hAnsi="Cambria"/>
          <w:sz w:val="28"/>
          <w:szCs w:val="28"/>
        </w:rPr>
        <w:t>history. He is the author or co-author of three dozen books and technical reports in history, educational management, and popular culture.</w:t>
      </w:r>
      <w:r w:rsidR="00A933AB">
        <w:rPr>
          <w:rFonts w:ascii="Cambria" w:hAnsi="Cambria"/>
          <w:sz w:val="28"/>
          <w:szCs w:val="28"/>
        </w:rPr>
        <w:t xml:space="preserve"> Here are some:</w:t>
      </w:r>
    </w:p>
    <w:p w14:paraId="3D00F61C" w14:textId="77777777" w:rsidR="00F22B0A" w:rsidRDefault="00F22B0A">
      <w:pPr>
        <w:rPr>
          <w:rFonts w:ascii="Cambria" w:hAnsi="Cambria"/>
          <w:sz w:val="28"/>
          <w:szCs w:val="28"/>
        </w:rPr>
      </w:pPr>
    </w:p>
    <w:p w14:paraId="0A5791BE" w14:textId="5C7EDCB8" w:rsidR="00B131E4" w:rsidRDefault="00B131E4">
      <w:pPr>
        <w:rPr>
          <w:rFonts w:ascii="Cambria" w:hAnsi="Cambria"/>
          <w:sz w:val="28"/>
          <w:szCs w:val="28"/>
        </w:rPr>
      </w:pPr>
      <w:r>
        <w:rPr>
          <w:noProof/>
        </w:rPr>
        <w:drawing>
          <wp:inline distT="0" distB="0" distL="0" distR="0" wp14:anchorId="09E66F9D" wp14:editId="066E8A10">
            <wp:extent cx="2039147" cy="3162300"/>
            <wp:effectExtent l="0" t="0" r="0" b="0"/>
            <wp:docPr id="761959578" name="Picture 2" descr="9780195505795: The manufacture of Australian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780195505795: The manufacture of Australian hist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9737" cy="3271770"/>
                    </a:xfrm>
                    <a:prstGeom prst="rect">
                      <a:avLst/>
                    </a:prstGeom>
                    <a:noFill/>
                    <a:ln>
                      <a:noFill/>
                    </a:ln>
                  </pic:spPr>
                </pic:pic>
              </a:graphicData>
            </a:graphic>
          </wp:inline>
        </w:drawing>
      </w:r>
    </w:p>
    <w:p w14:paraId="27A0C091" w14:textId="77777777" w:rsidR="00B131E4" w:rsidRDefault="00B131E4" w:rsidP="00B131E4">
      <w:pPr>
        <w:rPr>
          <w:rFonts w:ascii="Cambria" w:hAnsi="Cambria"/>
          <w:sz w:val="28"/>
          <w:szCs w:val="28"/>
        </w:rPr>
      </w:pPr>
      <w:r w:rsidRPr="00A26490">
        <w:rPr>
          <w:rFonts w:ascii="Cambria" w:hAnsi="Cambria"/>
          <w:sz w:val="28"/>
          <w:szCs w:val="28"/>
        </w:rPr>
        <w:lastRenderedPageBreak/>
        <w:t xml:space="preserve">Pascoe’s first book, </w:t>
      </w:r>
      <w:r w:rsidRPr="00A26490">
        <w:rPr>
          <w:rFonts w:ascii="Cambria" w:hAnsi="Cambria"/>
          <w:i/>
          <w:iCs/>
          <w:sz w:val="28"/>
          <w:szCs w:val="28"/>
        </w:rPr>
        <w:t>The Manufacture of Australian History</w:t>
      </w:r>
      <w:r w:rsidRPr="00A26490">
        <w:rPr>
          <w:rFonts w:ascii="Cambria" w:hAnsi="Cambria"/>
          <w:sz w:val="28"/>
          <w:szCs w:val="28"/>
        </w:rPr>
        <w:t xml:space="preserve"> (Oxford University Press, 1979) was influential in the reshaping of the History discipline in Australia during the 1980s</w:t>
      </w:r>
    </w:p>
    <w:p w14:paraId="1E379D53" w14:textId="77777777" w:rsidR="00F22B0A" w:rsidRPr="00A26490" w:rsidRDefault="00F22B0A" w:rsidP="00B131E4">
      <w:pPr>
        <w:rPr>
          <w:rFonts w:ascii="Cambria" w:hAnsi="Cambria"/>
          <w:sz w:val="28"/>
          <w:szCs w:val="28"/>
        </w:rPr>
      </w:pPr>
    </w:p>
    <w:p w14:paraId="664D4C46" w14:textId="34F71870" w:rsidR="00B131E4" w:rsidRDefault="00B131E4">
      <w:pPr>
        <w:rPr>
          <w:rFonts w:ascii="Cambria" w:hAnsi="Cambria"/>
          <w:sz w:val="28"/>
          <w:szCs w:val="28"/>
        </w:rPr>
      </w:pPr>
      <w:r>
        <w:rPr>
          <w:noProof/>
        </w:rPr>
        <w:drawing>
          <wp:inline distT="0" distB="0" distL="0" distR="0" wp14:anchorId="0671518A" wp14:editId="5ACD915D">
            <wp:extent cx="2075994" cy="2895600"/>
            <wp:effectExtent l="0" t="0" r="635" b="0"/>
            <wp:docPr id="1526302394" name="Picture 4" descr="Buongiorno Australia Our Ital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ongiorno Australia Our Italia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2312" cy="2932309"/>
                    </a:xfrm>
                    <a:prstGeom prst="rect">
                      <a:avLst/>
                    </a:prstGeom>
                    <a:noFill/>
                    <a:ln>
                      <a:noFill/>
                    </a:ln>
                  </pic:spPr>
                </pic:pic>
              </a:graphicData>
            </a:graphic>
          </wp:inline>
        </w:drawing>
      </w:r>
    </w:p>
    <w:p w14:paraId="3E740C98" w14:textId="569B323F" w:rsidR="00B131E4" w:rsidRDefault="00B131E4" w:rsidP="00B131E4">
      <w:pPr>
        <w:rPr>
          <w:rFonts w:ascii="Cambria" w:hAnsi="Cambria"/>
          <w:sz w:val="28"/>
          <w:szCs w:val="28"/>
        </w:rPr>
      </w:pPr>
      <w:r w:rsidRPr="00A26490">
        <w:rPr>
          <w:rFonts w:ascii="Cambria" w:hAnsi="Cambria"/>
          <w:i/>
          <w:iCs/>
          <w:sz w:val="28"/>
          <w:szCs w:val="28"/>
        </w:rPr>
        <w:t>Buongiorno Australia</w:t>
      </w:r>
      <w:r w:rsidRPr="00A26490">
        <w:rPr>
          <w:rFonts w:ascii="Cambria" w:hAnsi="Cambria"/>
          <w:sz w:val="28"/>
          <w:szCs w:val="28"/>
        </w:rPr>
        <w:t xml:space="preserve"> (Greenhouse, 1987), commissioned by the Vaccari Italian Historical Trust, was the first general social history of the Italians in Australia and is still widely quoted</w:t>
      </w:r>
    </w:p>
    <w:p w14:paraId="6A9CDFE7" w14:textId="7B4272DC" w:rsidR="00B131E4" w:rsidRDefault="00401A7E" w:rsidP="00B131E4">
      <w:pPr>
        <w:rPr>
          <w:rFonts w:ascii="Cambria" w:hAnsi="Cambria"/>
          <w:sz w:val="28"/>
          <w:szCs w:val="28"/>
        </w:rPr>
      </w:pPr>
      <w:r>
        <w:rPr>
          <w:noProof/>
        </w:rPr>
        <w:drawing>
          <wp:inline distT="0" distB="0" distL="0" distR="0" wp14:anchorId="3F3D5397" wp14:editId="130449F8">
            <wp:extent cx="3454795" cy="2733675"/>
            <wp:effectExtent l="0" t="0" r="0" b="0"/>
            <wp:docPr id="1484597985" name="Picture 5" descr="In Old Kalgoor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 Old Kalgoorl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2961" cy="2755962"/>
                    </a:xfrm>
                    <a:prstGeom prst="rect">
                      <a:avLst/>
                    </a:prstGeom>
                    <a:noFill/>
                    <a:ln>
                      <a:noFill/>
                    </a:ln>
                  </pic:spPr>
                </pic:pic>
              </a:graphicData>
            </a:graphic>
          </wp:inline>
        </w:drawing>
      </w:r>
    </w:p>
    <w:p w14:paraId="78217025" w14:textId="77777777" w:rsidR="00401A7E" w:rsidRDefault="00401A7E" w:rsidP="00B131E4">
      <w:pPr>
        <w:rPr>
          <w:rFonts w:ascii="Cambria" w:hAnsi="Cambria"/>
          <w:sz w:val="28"/>
          <w:szCs w:val="28"/>
        </w:rPr>
      </w:pPr>
    </w:p>
    <w:p w14:paraId="22E7433F" w14:textId="1AE38477" w:rsidR="00401A7E" w:rsidRDefault="00401A7E" w:rsidP="00401A7E">
      <w:pPr>
        <w:rPr>
          <w:rFonts w:ascii="Cambria" w:hAnsi="Cambria"/>
          <w:sz w:val="28"/>
          <w:szCs w:val="28"/>
        </w:rPr>
      </w:pPr>
      <w:r w:rsidRPr="00A26490">
        <w:rPr>
          <w:rFonts w:ascii="Cambria" w:hAnsi="Cambria"/>
          <w:sz w:val="28"/>
          <w:szCs w:val="28"/>
        </w:rPr>
        <w:t xml:space="preserve">An </w:t>
      </w:r>
      <w:r>
        <w:rPr>
          <w:rFonts w:ascii="Cambria" w:hAnsi="Cambria"/>
          <w:sz w:val="28"/>
          <w:szCs w:val="28"/>
        </w:rPr>
        <w:t xml:space="preserve">account of one of Australia’s iconic towns, </w:t>
      </w:r>
      <w:r>
        <w:rPr>
          <w:rFonts w:ascii="Cambria" w:hAnsi="Cambria"/>
          <w:i/>
          <w:iCs/>
          <w:sz w:val="28"/>
          <w:szCs w:val="28"/>
        </w:rPr>
        <w:t>In Old Kalgoorlie</w:t>
      </w:r>
      <w:r>
        <w:rPr>
          <w:rFonts w:ascii="Cambria" w:hAnsi="Cambria"/>
          <w:sz w:val="28"/>
          <w:szCs w:val="28"/>
        </w:rPr>
        <w:t xml:space="preserve"> (Western Australian Museum, 1989, 2010) has consistently been the top-selling book in the Museum’s bookshops</w:t>
      </w:r>
    </w:p>
    <w:p w14:paraId="211B969B" w14:textId="77777777" w:rsidR="00C145F6" w:rsidRDefault="00C145F6" w:rsidP="00401A7E">
      <w:pPr>
        <w:rPr>
          <w:rFonts w:ascii="Cambria" w:hAnsi="Cambria"/>
          <w:sz w:val="28"/>
          <w:szCs w:val="28"/>
        </w:rPr>
      </w:pPr>
    </w:p>
    <w:p w14:paraId="2285B382" w14:textId="13196057" w:rsidR="00C145F6" w:rsidRPr="00062E04" w:rsidRDefault="00C145F6" w:rsidP="00401A7E">
      <w:pPr>
        <w:rPr>
          <w:rFonts w:ascii="Cambria" w:hAnsi="Cambria"/>
          <w:sz w:val="28"/>
          <w:szCs w:val="28"/>
        </w:rPr>
      </w:pPr>
      <w:r>
        <w:rPr>
          <w:noProof/>
        </w:rPr>
        <w:drawing>
          <wp:inline distT="0" distB="0" distL="0" distR="0" wp14:anchorId="1D1C4C55" wp14:editId="5CB29910">
            <wp:extent cx="2038350" cy="3068849"/>
            <wp:effectExtent l="0" t="0" r="0" b="0"/>
            <wp:docPr id="8764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922" cy="3069710"/>
                    </a:xfrm>
                    <a:prstGeom prst="rect">
                      <a:avLst/>
                    </a:prstGeom>
                    <a:noFill/>
                    <a:ln>
                      <a:noFill/>
                    </a:ln>
                  </pic:spPr>
                </pic:pic>
              </a:graphicData>
            </a:graphic>
          </wp:inline>
        </w:drawing>
      </w:r>
    </w:p>
    <w:p w14:paraId="4474CF1A" w14:textId="255D7A16" w:rsidR="00401A7E" w:rsidRDefault="00C145F6" w:rsidP="00B131E4">
      <w:pPr>
        <w:rPr>
          <w:rFonts w:ascii="Cambria" w:hAnsi="Cambria"/>
          <w:sz w:val="28"/>
          <w:szCs w:val="28"/>
        </w:rPr>
      </w:pPr>
      <w:r>
        <w:rPr>
          <w:rFonts w:ascii="Cambria" w:hAnsi="Cambria"/>
          <w:sz w:val="28"/>
          <w:szCs w:val="28"/>
        </w:rPr>
        <w:t xml:space="preserve">The first national account of Australian football, </w:t>
      </w:r>
      <w:r w:rsidRPr="00C145F6">
        <w:rPr>
          <w:rFonts w:ascii="Cambria" w:hAnsi="Cambria"/>
          <w:i/>
          <w:iCs/>
          <w:sz w:val="28"/>
          <w:szCs w:val="28"/>
        </w:rPr>
        <w:t>The Winter Game</w:t>
      </w:r>
      <w:r>
        <w:rPr>
          <w:rFonts w:ascii="Cambria" w:hAnsi="Cambria"/>
          <w:sz w:val="28"/>
          <w:szCs w:val="28"/>
        </w:rPr>
        <w:t xml:space="preserve"> (Text, 1995) wove together sports and social history  </w:t>
      </w:r>
    </w:p>
    <w:p w14:paraId="6D046333" w14:textId="2802FFFA" w:rsidR="00401A7E" w:rsidRDefault="00401A7E" w:rsidP="00B131E4">
      <w:pPr>
        <w:rPr>
          <w:rFonts w:ascii="Cambria" w:hAnsi="Cambria"/>
          <w:sz w:val="28"/>
          <w:szCs w:val="28"/>
        </w:rPr>
      </w:pPr>
      <w:r>
        <w:rPr>
          <w:noProof/>
        </w:rPr>
        <w:drawing>
          <wp:inline distT="0" distB="0" distL="0" distR="0" wp14:anchorId="474B5396" wp14:editId="06D24F88">
            <wp:extent cx="2038350" cy="3147993"/>
            <wp:effectExtent l="0" t="0" r="0" b="0"/>
            <wp:docPr id="1272820161" name="Picture 9" descr="The Feasts &amp; Seasons of John F. Ke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Feasts &amp; Seasons of John F. Kell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55" cy="3243134"/>
                    </a:xfrm>
                    <a:prstGeom prst="rect">
                      <a:avLst/>
                    </a:prstGeom>
                    <a:noFill/>
                    <a:ln>
                      <a:noFill/>
                    </a:ln>
                  </pic:spPr>
                </pic:pic>
              </a:graphicData>
            </a:graphic>
          </wp:inline>
        </w:drawing>
      </w:r>
    </w:p>
    <w:p w14:paraId="49E11C1A" w14:textId="0E2161F5" w:rsidR="00401A7E" w:rsidRDefault="00401A7E" w:rsidP="00401A7E">
      <w:pPr>
        <w:rPr>
          <w:rFonts w:ascii="Cambria" w:hAnsi="Cambria"/>
          <w:sz w:val="28"/>
          <w:szCs w:val="28"/>
        </w:rPr>
      </w:pPr>
      <w:r w:rsidRPr="00062E04">
        <w:rPr>
          <w:rFonts w:ascii="Cambria" w:hAnsi="Cambria"/>
          <w:i/>
          <w:iCs/>
          <w:sz w:val="28"/>
          <w:szCs w:val="28"/>
        </w:rPr>
        <w:t>The Feasts &amp; Seasons of John F. Kelly</w:t>
      </w:r>
      <w:r w:rsidRPr="00062E04">
        <w:rPr>
          <w:rFonts w:ascii="Cambria" w:hAnsi="Cambria"/>
          <w:sz w:val="28"/>
          <w:szCs w:val="28"/>
        </w:rPr>
        <w:t xml:space="preserve"> (Allen &amp; Unwin, 2006) is one of Pascoe’s three biographies to date</w:t>
      </w:r>
      <w:r w:rsidR="00C145F6">
        <w:rPr>
          <w:rFonts w:ascii="Cambria" w:hAnsi="Cambria"/>
          <w:sz w:val="28"/>
          <w:szCs w:val="28"/>
        </w:rPr>
        <w:t>, alongside those of builder Luigi Grollo and civil engineer Nat Bonacci</w:t>
      </w:r>
    </w:p>
    <w:p w14:paraId="21A86490" w14:textId="77777777" w:rsidR="00401A7E" w:rsidRDefault="00401A7E">
      <w:pPr>
        <w:rPr>
          <w:rFonts w:ascii="Cambria" w:hAnsi="Cambria"/>
          <w:sz w:val="28"/>
          <w:szCs w:val="28"/>
        </w:rPr>
      </w:pPr>
      <w:r>
        <w:rPr>
          <w:rFonts w:ascii="Cambria" w:hAnsi="Cambria"/>
          <w:sz w:val="28"/>
          <w:szCs w:val="28"/>
        </w:rPr>
        <w:br w:type="page"/>
      </w:r>
    </w:p>
    <w:p w14:paraId="1D9E08AE" w14:textId="6DBD2A4B" w:rsidR="00401A7E" w:rsidRPr="00062E04" w:rsidRDefault="00401A7E" w:rsidP="00401A7E">
      <w:pPr>
        <w:rPr>
          <w:rFonts w:ascii="Cambria" w:hAnsi="Cambria"/>
          <w:sz w:val="28"/>
          <w:szCs w:val="28"/>
        </w:rPr>
      </w:pPr>
      <w:r>
        <w:rPr>
          <w:noProof/>
        </w:rPr>
        <w:lastRenderedPageBreak/>
        <w:drawing>
          <wp:anchor distT="0" distB="0" distL="114300" distR="114300" simplePos="0" relativeHeight="251659264" behindDoc="0" locked="0" layoutInCell="1" allowOverlap="1" wp14:anchorId="6D3E0BFC" wp14:editId="6EAD04AD">
            <wp:simplePos x="0" y="0"/>
            <wp:positionH relativeFrom="margin">
              <wp:posOffset>114300</wp:posOffset>
            </wp:positionH>
            <wp:positionV relativeFrom="paragraph">
              <wp:posOffset>266065</wp:posOffset>
            </wp:positionV>
            <wp:extent cx="2190750" cy="2676525"/>
            <wp:effectExtent l="0" t="0" r="0" b="9525"/>
            <wp:wrapSquare wrapText="bothSides"/>
            <wp:docPr id="2094049471" name="Picture 8" descr="Rethinking Tertiary Education: Building on the Work of Peter Noonan :  Lilly, Megan, Dawkins, Peter, Pascoe, Robert, Gillard, Julia: Amazon.it:  Lib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hinking Tertiary Education: Building on the Work of Peter Noonan :  Lilly, Megan, Dawkins, Peter, Pascoe, Robert, Gillard, Julia: Amazon.it:  Libri"/>
                    <pic:cNvPicPr>
                      <a:picLocks noChangeAspect="1" noChangeArrowheads="1"/>
                    </pic:cNvPicPr>
                  </pic:nvPicPr>
                  <pic:blipFill rotWithShape="1">
                    <a:blip r:embed="rId9">
                      <a:extLst>
                        <a:ext uri="{28A0092B-C50C-407E-A947-70E740481C1C}">
                          <a14:useLocalDpi xmlns:a14="http://schemas.microsoft.com/office/drawing/2010/main" val="0"/>
                        </a:ext>
                      </a:extLst>
                    </a:blip>
                    <a:srcRect l="32004" t="3963" r="32726" b="10006"/>
                    <a:stretch/>
                  </pic:blipFill>
                  <pic:spPr bwMode="auto">
                    <a:xfrm>
                      <a:off x="0" y="0"/>
                      <a:ext cx="2190750" cy="2676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52718" w14:textId="069DC5E2" w:rsidR="00401A7E" w:rsidRDefault="00401A7E" w:rsidP="00B131E4">
      <w:pPr>
        <w:rPr>
          <w:rFonts w:ascii="Cambria" w:hAnsi="Cambria"/>
          <w:sz w:val="28"/>
          <w:szCs w:val="28"/>
        </w:rPr>
      </w:pPr>
    </w:p>
    <w:p w14:paraId="436722C6" w14:textId="77777777" w:rsidR="00401A7E" w:rsidRDefault="00401A7E" w:rsidP="00B131E4">
      <w:pPr>
        <w:rPr>
          <w:rFonts w:ascii="Cambria" w:hAnsi="Cambria"/>
          <w:sz w:val="28"/>
          <w:szCs w:val="28"/>
        </w:rPr>
      </w:pPr>
    </w:p>
    <w:p w14:paraId="361849A1" w14:textId="77777777" w:rsidR="00401A7E" w:rsidRDefault="00401A7E" w:rsidP="00B131E4">
      <w:pPr>
        <w:rPr>
          <w:rFonts w:ascii="Cambria" w:hAnsi="Cambria"/>
          <w:sz w:val="28"/>
          <w:szCs w:val="28"/>
        </w:rPr>
      </w:pPr>
    </w:p>
    <w:p w14:paraId="7C8F3728" w14:textId="77777777" w:rsidR="00B131E4" w:rsidRPr="00A26490" w:rsidRDefault="00B131E4" w:rsidP="00B131E4">
      <w:pPr>
        <w:rPr>
          <w:rFonts w:ascii="Cambria" w:hAnsi="Cambria"/>
          <w:sz w:val="28"/>
          <w:szCs w:val="28"/>
        </w:rPr>
      </w:pPr>
    </w:p>
    <w:p w14:paraId="5670274E" w14:textId="181D8B30" w:rsidR="00B131E4" w:rsidRDefault="00B131E4">
      <w:pPr>
        <w:rPr>
          <w:rFonts w:ascii="Cambria" w:hAnsi="Cambria"/>
          <w:sz w:val="28"/>
          <w:szCs w:val="28"/>
        </w:rPr>
      </w:pPr>
    </w:p>
    <w:p w14:paraId="0B8F8302" w14:textId="77777777" w:rsidR="00401A7E" w:rsidRDefault="00401A7E">
      <w:pPr>
        <w:rPr>
          <w:rFonts w:ascii="Cambria" w:hAnsi="Cambria"/>
          <w:sz w:val="28"/>
          <w:szCs w:val="28"/>
        </w:rPr>
      </w:pPr>
    </w:p>
    <w:p w14:paraId="212F97B2" w14:textId="77777777" w:rsidR="00401A7E" w:rsidRDefault="00401A7E">
      <w:pPr>
        <w:rPr>
          <w:rFonts w:ascii="Cambria" w:hAnsi="Cambria"/>
          <w:sz w:val="28"/>
          <w:szCs w:val="28"/>
        </w:rPr>
      </w:pPr>
    </w:p>
    <w:p w14:paraId="2B057F6A" w14:textId="77777777" w:rsidR="00401A7E" w:rsidRDefault="00401A7E">
      <w:pPr>
        <w:rPr>
          <w:rFonts w:ascii="Cambria" w:hAnsi="Cambria"/>
          <w:sz w:val="28"/>
          <w:szCs w:val="28"/>
        </w:rPr>
      </w:pPr>
    </w:p>
    <w:p w14:paraId="5CF0A442" w14:textId="77777777" w:rsidR="00C145F6" w:rsidRDefault="00C145F6" w:rsidP="00401A7E">
      <w:pPr>
        <w:rPr>
          <w:rFonts w:ascii="Cambria" w:hAnsi="Cambria"/>
          <w:sz w:val="28"/>
          <w:szCs w:val="28"/>
        </w:rPr>
      </w:pPr>
    </w:p>
    <w:p w14:paraId="2C644C2C" w14:textId="31B79DD1" w:rsidR="00401A7E" w:rsidRDefault="00401A7E" w:rsidP="00401A7E">
      <w:pPr>
        <w:rPr>
          <w:rFonts w:ascii="Cambria" w:hAnsi="Cambria"/>
          <w:sz w:val="28"/>
          <w:szCs w:val="28"/>
        </w:rPr>
      </w:pPr>
      <w:r>
        <w:rPr>
          <w:rFonts w:ascii="Cambria" w:hAnsi="Cambria"/>
          <w:sz w:val="28"/>
          <w:szCs w:val="28"/>
        </w:rPr>
        <w:t xml:space="preserve">Pascoe served as a contributing author and co-editor of </w:t>
      </w:r>
      <w:r>
        <w:rPr>
          <w:rFonts w:ascii="Cambria" w:hAnsi="Cambria"/>
          <w:i/>
          <w:iCs/>
          <w:sz w:val="28"/>
          <w:szCs w:val="28"/>
        </w:rPr>
        <w:t>Rethinking Tertiary Education</w:t>
      </w:r>
      <w:r>
        <w:rPr>
          <w:rFonts w:ascii="Cambria" w:hAnsi="Cambria"/>
          <w:sz w:val="28"/>
          <w:szCs w:val="28"/>
        </w:rPr>
        <w:t xml:space="preserve"> (Melbourne University Publishing, 2023), offering a radical agenda for reforming Australia’s universities and TAFE</w:t>
      </w:r>
    </w:p>
    <w:p w14:paraId="467E6D8F" w14:textId="2B745842" w:rsidR="00A933AB" w:rsidRPr="00A933AB" w:rsidRDefault="00A933AB" w:rsidP="00A933AB">
      <w:pPr>
        <w:rPr>
          <w:rFonts w:ascii="Cambria" w:hAnsi="Cambria"/>
          <w:sz w:val="28"/>
          <w:szCs w:val="28"/>
        </w:rPr>
      </w:pPr>
      <w:r w:rsidRPr="00A933AB">
        <w:rPr>
          <w:rFonts w:ascii="Cambria" w:hAnsi="Cambria"/>
          <w:sz w:val="28"/>
          <w:szCs w:val="28"/>
        </w:rPr>
        <w:drawing>
          <wp:inline distT="0" distB="0" distL="0" distR="0" wp14:anchorId="69F3BBF4" wp14:editId="40F60A7C">
            <wp:extent cx="2066925" cy="3156033"/>
            <wp:effectExtent l="0" t="0" r="0" b="6350"/>
            <wp:docPr id="1210315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882" cy="3172763"/>
                    </a:xfrm>
                    <a:prstGeom prst="rect">
                      <a:avLst/>
                    </a:prstGeom>
                    <a:noFill/>
                    <a:ln>
                      <a:noFill/>
                    </a:ln>
                  </pic:spPr>
                </pic:pic>
              </a:graphicData>
            </a:graphic>
          </wp:inline>
        </w:drawing>
      </w:r>
    </w:p>
    <w:p w14:paraId="354E91B9" w14:textId="77777777" w:rsidR="00C145F6" w:rsidRDefault="00C145F6" w:rsidP="00401A7E">
      <w:pPr>
        <w:rPr>
          <w:rFonts w:ascii="Cambria" w:hAnsi="Cambria"/>
          <w:sz w:val="28"/>
          <w:szCs w:val="28"/>
        </w:rPr>
      </w:pPr>
    </w:p>
    <w:p w14:paraId="4DF0DD3D" w14:textId="3FF67F8E" w:rsidR="00401A7E" w:rsidRPr="00A33380" w:rsidRDefault="00C145F6">
      <w:pPr>
        <w:rPr>
          <w:rFonts w:ascii="Cambria" w:hAnsi="Cambria"/>
          <w:sz w:val="28"/>
          <w:szCs w:val="28"/>
        </w:rPr>
      </w:pPr>
      <w:r>
        <w:rPr>
          <w:rFonts w:ascii="Cambria" w:hAnsi="Cambria"/>
          <w:sz w:val="28"/>
          <w:szCs w:val="28"/>
        </w:rPr>
        <w:t xml:space="preserve">Researched and written with his colleague of four decades, Chris McConville, </w:t>
      </w:r>
      <w:r w:rsidRPr="00357B7F">
        <w:rPr>
          <w:rFonts w:ascii="Cambria" w:hAnsi="Cambria"/>
          <w:i/>
          <w:iCs/>
          <w:sz w:val="28"/>
          <w:szCs w:val="28"/>
        </w:rPr>
        <w:t>Richmond</w:t>
      </w:r>
      <w:r>
        <w:rPr>
          <w:rFonts w:ascii="Cambria" w:hAnsi="Cambria"/>
          <w:sz w:val="28"/>
          <w:szCs w:val="28"/>
        </w:rPr>
        <w:t xml:space="preserve"> (Con</w:t>
      </w:r>
      <w:r w:rsidR="00357B7F">
        <w:rPr>
          <w:rFonts w:ascii="Cambria" w:hAnsi="Cambria"/>
          <w:sz w:val="28"/>
          <w:szCs w:val="28"/>
        </w:rPr>
        <w:t>n</w:t>
      </w:r>
      <w:r>
        <w:rPr>
          <w:rFonts w:ascii="Cambria" w:hAnsi="Cambria"/>
          <w:sz w:val="28"/>
          <w:szCs w:val="28"/>
        </w:rPr>
        <w:t xml:space="preserve">or Court, 2026) is the first in their </w:t>
      </w:r>
      <w:r w:rsidRPr="00357B7F">
        <w:rPr>
          <w:rFonts w:ascii="Cambria" w:hAnsi="Cambria"/>
          <w:i/>
          <w:iCs/>
          <w:sz w:val="28"/>
          <w:szCs w:val="28"/>
        </w:rPr>
        <w:t xml:space="preserve">Streets Beneath Our Feet </w:t>
      </w:r>
      <w:r>
        <w:rPr>
          <w:rFonts w:ascii="Cambria" w:hAnsi="Cambria"/>
          <w:sz w:val="28"/>
          <w:szCs w:val="28"/>
        </w:rPr>
        <w:t xml:space="preserve">series, </w:t>
      </w:r>
      <w:r w:rsidR="00357B7F">
        <w:rPr>
          <w:rFonts w:ascii="Cambria" w:hAnsi="Cambria"/>
          <w:sz w:val="28"/>
          <w:szCs w:val="28"/>
        </w:rPr>
        <w:t>revealing the history on show to flaneurs walking through some of the world’s most interesting neighbourhoods.</w:t>
      </w:r>
      <w:r w:rsidR="00F22B0A">
        <w:rPr>
          <w:rFonts w:ascii="Cambria" w:hAnsi="Cambria"/>
          <w:sz w:val="28"/>
          <w:szCs w:val="28"/>
        </w:rPr>
        <w:t xml:space="preserve"> Go to </w:t>
      </w:r>
      <w:hyperlink r:id="rId11" w:history="1">
        <w:r w:rsidR="00F22B0A" w:rsidRPr="00AA1BDC">
          <w:rPr>
            <w:rStyle w:val="Hyperlink"/>
            <w:rFonts w:ascii="Cambria" w:hAnsi="Cambria"/>
            <w:sz w:val="28"/>
            <w:szCs w:val="28"/>
          </w:rPr>
          <w:t>www.streetsbeneathourfeet.com</w:t>
        </w:r>
      </w:hyperlink>
      <w:r w:rsidR="00F22B0A">
        <w:rPr>
          <w:rFonts w:ascii="Cambria" w:hAnsi="Cambria"/>
          <w:sz w:val="28"/>
          <w:szCs w:val="28"/>
        </w:rPr>
        <w:t xml:space="preserve"> for further details.</w:t>
      </w:r>
    </w:p>
    <w:sectPr w:rsidR="00401A7E" w:rsidRPr="00A33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E"/>
    <w:rsid w:val="000927E4"/>
    <w:rsid w:val="000B1BCC"/>
    <w:rsid w:val="00295086"/>
    <w:rsid w:val="00357B7F"/>
    <w:rsid w:val="00401A7E"/>
    <w:rsid w:val="00535785"/>
    <w:rsid w:val="005711BD"/>
    <w:rsid w:val="00945136"/>
    <w:rsid w:val="00A33380"/>
    <w:rsid w:val="00A84CDE"/>
    <w:rsid w:val="00A933AB"/>
    <w:rsid w:val="00AE6A87"/>
    <w:rsid w:val="00B131E4"/>
    <w:rsid w:val="00BC5555"/>
    <w:rsid w:val="00C145F6"/>
    <w:rsid w:val="00F22B0A"/>
    <w:rsid w:val="00F86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D00A"/>
  <w15:chartTrackingRefBased/>
  <w15:docId w15:val="{0071CBB3-DA60-424C-86F1-0FE36DA5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5BE"/>
    <w:rPr>
      <w:rFonts w:eastAsiaTheme="majorEastAsia" w:cstheme="majorBidi"/>
      <w:color w:val="272727" w:themeColor="text1" w:themeTint="D8"/>
    </w:rPr>
  </w:style>
  <w:style w:type="paragraph" w:styleId="Title">
    <w:name w:val="Title"/>
    <w:basedOn w:val="Normal"/>
    <w:next w:val="Normal"/>
    <w:link w:val="TitleChar"/>
    <w:uiPriority w:val="10"/>
    <w:qFormat/>
    <w:rsid w:val="00F8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5BE"/>
    <w:pPr>
      <w:spacing w:before="160"/>
      <w:jc w:val="center"/>
    </w:pPr>
    <w:rPr>
      <w:i/>
      <w:iCs/>
      <w:color w:val="404040" w:themeColor="text1" w:themeTint="BF"/>
    </w:rPr>
  </w:style>
  <w:style w:type="character" w:customStyle="1" w:styleId="QuoteChar">
    <w:name w:val="Quote Char"/>
    <w:basedOn w:val="DefaultParagraphFont"/>
    <w:link w:val="Quote"/>
    <w:uiPriority w:val="29"/>
    <w:rsid w:val="00F865BE"/>
    <w:rPr>
      <w:i/>
      <w:iCs/>
      <w:color w:val="404040" w:themeColor="text1" w:themeTint="BF"/>
    </w:rPr>
  </w:style>
  <w:style w:type="paragraph" w:styleId="ListParagraph">
    <w:name w:val="List Paragraph"/>
    <w:basedOn w:val="Normal"/>
    <w:uiPriority w:val="34"/>
    <w:qFormat/>
    <w:rsid w:val="00F865BE"/>
    <w:pPr>
      <w:ind w:left="720"/>
      <w:contextualSpacing/>
    </w:pPr>
  </w:style>
  <w:style w:type="character" w:styleId="IntenseEmphasis">
    <w:name w:val="Intense Emphasis"/>
    <w:basedOn w:val="DefaultParagraphFont"/>
    <w:uiPriority w:val="21"/>
    <w:qFormat/>
    <w:rsid w:val="00F865BE"/>
    <w:rPr>
      <w:i/>
      <w:iCs/>
      <w:color w:val="2F5496" w:themeColor="accent1" w:themeShade="BF"/>
    </w:rPr>
  </w:style>
  <w:style w:type="paragraph" w:styleId="IntenseQuote">
    <w:name w:val="Intense Quote"/>
    <w:basedOn w:val="Normal"/>
    <w:next w:val="Normal"/>
    <w:link w:val="IntenseQuoteChar"/>
    <w:uiPriority w:val="30"/>
    <w:qFormat/>
    <w:rsid w:val="00F8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5BE"/>
    <w:rPr>
      <w:i/>
      <w:iCs/>
      <w:color w:val="2F5496" w:themeColor="accent1" w:themeShade="BF"/>
    </w:rPr>
  </w:style>
  <w:style w:type="character" w:styleId="IntenseReference">
    <w:name w:val="Intense Reference"/>
    <w:basedOn w:val="DefaultParagraphFont"/>
    <w:uiPriority w:val="32"/>
    <w:qFormat/>
    <w:rsid w:val="00F865BE"/>
    <w:rPr>
      <w:b/>
      <w:bCs/>
      <w:smallCaps/>
      <w:color w:val="2F5496" w:themeColor="accent1" w:themeShade="BF"/>
      <w:spacing w:val="5"/>
    </w:rPr>
  </w:style>
  <w:style w:type="character" w:styleId="Hyperlink">
    <w:name w:val="Hyperlink"/>
    <w:basedOn w:val="DefaultParagraphFont"/>
    <w:uiPriority w:val="99"/>
    <w:unhideWhenUsed/>
    <w:rsid w:val="00F22B0A"/>
    <w:rPr>
      <w:color w:val="0563C1" w:themeColor="hyperlink"/>
      <w:u w:val="single"/>
    </w:rPr>
  </w:style>
  <w:style w:type="character" w:styleId="UnresolvedMention">
    <w:name w:val="Unresolved Mention"/>
    <w:basedOn w:val="DefaultParagraphFont"/>
    <w:uiPriority w:val="99"/>
    <w:semiHidden/>
    <w:unhideWhenUsed/>
    <w:rsid w:val="00F22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streetsbeneathourfeet.com"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Pascoe Leahy</dc:creator>
  <cp:keywords/>
  <dc:description/>
  <cp:lastModifiedBy>Carla Pascoe Leahy</cp:lastModifiedBy>
  <cp:revision>5</cp:revision>
  <dcterms:created xsi:type="dcterms:W3CDTF">2026-04-30T01:24:00Z</dcterms:created>
  <dcterms:modified xsi:type="dcterms:W3CDTF">2026-04-30T02:38:00Z</dcterms:modified>
</cp:coreProperties>
</file>